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8D56B8" w:rsidR="008D56B8">
        <w:rPr>
          <w:sz w:val="26"/>
          <w:szCs w:val="26"/>
        </w:rPr>
        <w:t>1962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142A9C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04.10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142A9C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8D56B8" w:rsidR="00657A34">
        <w:rPr>
          <w:sz w:val="26"/>
          <w:szCs w:val="26"/>
        </w:rPr>
        <w:t>500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Pr="008D56B8">
        <w:rPr>
          <w:sz w:val="26"/>
          <w:szCs w:val="26"/>
        </w:rPr>
        <w:t>03.10.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142A9C">
        <w:rPr>
          <w:b/>
          <w:sz w:val="26"/>
          <w:szCs w:val="26"/>
        </w:rPr>
        <w:t>***</w:t>
      </w:r>
      <w:r w:rsidRP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142A9C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42A9C"/>
    <w:rsid w:val="001B7C41"/>
    <w:rsid w:val="001C458C"/>
    <w:rsid w:val="00201859"/>
    <w:rsid w:val="00333789"/>
    <w:rsid w:val="00360731"/>
    <w:rsid w:val="00384FFA"/>
    <w:rsid w:val="00657A34"/>
    <w:rsid w:val="00657ED2"/>
    <w:rsid w:val="00841B99"/>
    <w:rsid w:val="008A4036"/>
    <w:rsid w:val="008D56B8"/>
    <w:rsid w:val="008E2493"/>
    <w:rsid w:val="009272F7"/>
    <w:rsid w:val="00955346"/>
    <w:rsid w:val="00990573"/>
    <w:rsid w:val="009C1445"/>
    <w:rsid w:val="00AB364C"/>
    <w:rsid w:val="00C33FA8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